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0B1220"/>
        </w:rPr>
        <w:t>KI-Richtlinie</w:t>
      </w:r>
    </w:p>
    <w:p>
      <w:r>
        <w:rPr>
          <w:i w:val="0"/>
          <w:sz w:val="26"/>
        </w:rPr>
        <w:t>[Unternehmen] - verbindliche Regeln für den Einsatz von KI-Werkzeugen</w:t>
      </w:r>
    </w:p>
    <w:p>
      <w:r>
        <w:rPr>
          <w:i w:val="0"/>
          <w:color w:val="5E6E86"/>
          <w:sz w:val="18"/>
        </w:rPr>
        <w:t>Muster, Stand August 2026 · Vorlage: CompliKI (compliki.de), Version 2026-08</w:t>
      </w:r>
    </w:p>
    <w:p>
      <w:r>
        <w:rPr>
          <w:i/>
          <w:color w:val="5E6E86"/>
          <w:sz w:val="18"/>
        </w:rPr>
        <w:t>Hinweis zur Verwendung: Dieses Muster ist eine allgemeine Vorlage und keine Rechtsberatung. Ersetzen Sie alle Angaben in eckigen Klammern, streichen Sie Unpassendes und ergänzen Sie betriebliche Besonderheiten. Die Anpassung an den Einzelfall liegt beim Unternehmen.</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t>Version</w:t>
            </w:r>
          </w:p>
        </w:tc>
        <w:tc>
          <w:tcPr>
            <w:tcW w:type="dxa" w:w="1728"/>
          </w:tcPr>
          <w:p>
            <w:r>
              <w:t>Datum</w:t>
            </w:r>
          </w:p>
        </w:tc>
        <w:tc>
          <w:tcPr>
            <w:tcW w:type="dxa" w:w="1728"/>
          </w:tcPr>
          <w:p>
            <w:r>
              <w:t>Erstellt von</w:t>
            </w:r>
          </w:p>
        </w:tc>
        <w:tc>
          <w:tcPr>
            <w:tcW w:type="dxa" w:w="1728"/>
          </w:tcPr>
          <w:p>
            <w:r>
              <w:t>Freigegeben von</w:t>
            </w:r>
          </w:p>
        </w:tc>
        <w:tc>
          <w:tcPr>
            <w:tcW w:type="dxa" w:w="1728"/>
          </w:tcPr>
          <w:p>
            <w:r>
              <w:t>Nächste Überprüfung</w:t>
            </w:r>
          </w:p>
        </w:tc>
      </w:tr>
      <w:tr>
        <w:tc>
          <w:tcPr>
            <w:tcW w:type="dxa" w:w="1728"/>
          </w:tcPr>
          <w:p>
            <w:r>
              <w:t>1.0</w:t>
            </w:r>
          </w:p>
        </w:tc>
        <w:tc>
          <w:tcPr>
            <w:tcW w:type="dxa" w:w="1728"/>
          </w:tcPr>
          <w:p>
            <w:r>
              <w:t>[Datum]</w:t>
            </w:r>
          </w:p>
        </w:tc>
        <w:tc>
          <w:tcPr>
            <w:tcW w:type="dxa" w:w="1728"/>
          </w:tcPr>
          <w:p>
            <w:r>
              <w:t>[Name]</w:t>
            </w:r>
          </w:p>
        </w:tc>
        <w:tc>
          <w:tcPr>
            <w:tcW w:type="dxa" w:w="1728"/>
          </w:tcPr>
          <w:p>
            <w:r>
              <w:t>[Name, Funktion]</w:t>
            </w:r>
          </w:p>
        </w:tc>
        <w:tc>
          <w:tcPr>
            <w:tcW w:type="dxa" w:w="1728"/>
          </w:tcPr>
          <w:p>
            <w:r>
              <w:t>[Datum, z. B. in 12 Monaten]</w:t>
            </w:r>
          </w:p>
        </w:tc>
      </w:tr>
    </w:tbl>
    <w:p>
      <w:pPr>
        <w:pStyle w:val="Heading1"/>
      </w:pPr>
      <w:r>
        <w:rPr>
          <w:color w:val="0B1220"/>
        </w:rPr>
        <w:t>1. Zweck und Geltungsbereich</w:t>
      </w:r>
    </w:p>
    <w:p>
      <w:r>
        <w:rPr>
          <w:i w:val="0"/>
        </w:rPr>
        <w:t>Diese Richtlinie regelt, welche KI-Werkzeuge im Unternehmen genutzt werden dürfen, wofür sie genutzt werden dürfen und welche Regeln dabei gelten. Sie dient dem Schutz von personenbezogenen Daten und Geschäftsgeheimnissen, der Qualität unserer Arbeitsergebnisse und der Erfüllung der Pflichten aus der Verordnung (EU) 2024/1689 (KI-Verordnung), insbesondere der Maßnahmen zur KI-Kompetenz nach Art. 4 und der Transparenzpflichten nach Art. 50.</w:t>
      </w:r>
    </w:p>
    <w:p>
      <w:r>
        <w:rPr>
          <w:i w:val="0"/>
        </w:rPr>
        <w:t>Die Richtlinie gilt für alle Beschäftigten sowie für [freie Mitarbeitende / Werkstudierende / Dienstleister mit Systemzugang]. Sie gilt für jede berufliche Nutzung von KI-Werkzeugen, unabhängig davon, ob das Werkzeug vom Unternehmen bereitgestellt wird oder frei zugänglich ist.</w:t>
      </w:r>
    </w:p>
    <w:p>
      <w:pPr>
        <w:pStyle w:val="Heading1"/>
      </w:pPr>
      <w:r>
        <w:rPr>
          <w:color w:val="0B1220"/>
        </w:rPr>
        <w:t>2. Rollen und Zuständigkeiten</w:t>
      </w:r>
    </w:p>
    <w:p>
      <w:pPr>
        <w:pStyle w:val="ListBullet"/>
      </w:pPr>
      <w:r>
        <w:t>Verantwortlich für diese Richtlinie und ihre Pflege: [Name, Funktion].</w:t>
      </w:r>
    </w:p>
    <w:p>
      <w:pPr>
        <w:pStyle w:val="ListBullet"/>
      </w:pPr>
      <w:r>
        <w:t>Freigabe neuer KI-Werkzeuge: [Name, Funktion], gemeinsam mit [IT / Datenschutz], Entscheidung innerhalb von [10] Arbeitstagen.</w:t>
      </w:r>
    </w:p>
    <w:p>
      <w:pPr>
        <w:pStyle w:val="ListBullet"/>
      </w:pPr>
      <w:r>
        <w:t>Pflege des KI-Inventars (Liste aller eingesetzten KI-Systeme): [Name, Funktion].</w:t>
      </w:r>
    </w:p>
    <w:p>
      <w:pPr>
        <w:pStyle w:val="ListBullet"/>
      </w:pPr>
      <w:r>
        <w:t>Ansprechperson bei Fragen und Unsicherheiten im Alltag: [Name, Kontakt].</w:t>
      </w:r>
    </w:p>
    <w:p>
      <w:r>
        <w:rPr>
          <w:i w:val="0"/>
        </w:rPr>
        <w:t>Wo eine Arbeitnehmervertretung besteht, wird sie bei Einführung und wesentlichen Änderungen dieser Richtlinie frühzeitig eingebunden.</w:t>
      </w:r>
    </w:p>
    <w:p>
      <w:pPr>
        <w:pStyle w:val="Heading1"/>
      </w:pPr>
      <w:r>
        <w:rPr>
          <w:color w:val="0B1220"/>
        </w:rPr>
        <w:t>3. Zugelassene KI-Werkzeuge (Whitelist) und Freigabe neuer Werkzeuge</w:t>
      </w:r>
    </w:p>
    <w:p>
      <w:r>
        <w:rPr>
          <w:i w:val="0"/>
        </w:rPr>
        <w:t>Zulässig sind ausschließlich die folgenden Werkzeuge im jeweils genannten Rahmen. Die Liste ist ein Auszug aus dem KI-Inventar des Unternehmens und wird von der in Abschnitt 2 benannten Stelle gepflegt.</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Werkzeug</w:t>
            </w:r>
          </w:p>
        </w:tc>
        <w:tc>
          <w:tcPr>
            <w:tcW w:type="dxa" w:w="2160"/>
          </w:tcPr>
          <w:p>
            <w:r>
              <w:t>Anbieter</w:t>
            </w:r>
          </w:p>
        </w:tc>
        <w:tc>
          <w:tcPr>
            <w:tcW w:type="dxa" w:w="2160"/>
          </w:tcPr>
          <w:p>
            <w:r>
              <w:t>Zugelassener Zweck</w:t>
            </w:r>
          </w:p>
        </w:tc>
        <w:tc>
          <w:tcPr>
            <w:tcW w:type="dxa" w:w="2160"/>
          </w:tcPr>
          <w:p>
            <w:r>
              <w:t>Auflagen</w:t>
            </w:r>
          </w:p>
        </w:tc>
      </w:tr>
      <w:tr>
        <w:tc>
          <w:tcPr>
            <w:tcW w:type="dxa" w:w="2160"/>
          </w:tcPr>
          <w:p>
            <w:r>
              <w:t>[z. B. ChatGPT Team]</w:t>
            </w:r>
          </w:p>
        </w:tc>
        <w:tc>
          <w:tcPr>
            <w:tcW w:type="dxa" w:w="2160"/>
          </w:tcPr>
          <w:p>
            <w:r>
              <w:t>[OpenAI]</w:t>
            </w:r>
          </w:p>
        </w:tc>
        <w:tc>
          <w:tcPr>
            <w:tcW w:type="dxa" w:w="2160"/>
          </w:tcPr>
          <w:p>
            <w:r>
              <w:t>[Textentwürfe, Recherche]</w:t>
            </w:r>
          </w:p>
        </w:tc>
        <w:tc>
          <w:tcPr>
            <w:tcW w:type="dxa" w:w="2160"/>
          </w:tcPr>
          <w:p>
            <w:r>
              <w:t>[keine personenbezogenen Daten; Ergebnisse prüfen]</w:t>
            </w:r>
          </w:p>
        </w:tc>
      </w:tr>
      <w:tr>
        <w:tc>
          <w:tcPr>
            <w:tcW w:type="dxa" w:w="2160"/>
          </w:tcPr>
          <w:p>
            <w:r>
              <w:t>[z. B. Microsoft Copilot]</w:t>
            </w:r>
          </w:p>
        </w:tc>
        <w:tc>
          <w:tcPr>
            <w:tcW w:type="dxa" w:w="2160"/>
          </w:tcPr>
          <w:p>
            <w:r>
              <w:t>[Microsoft]</w:t>
            </w:r>
          </w:p>
        </w:tc>
        <w:tc>
          <w:tcPr>
            <w:tcW w:type="dxa" w:w="2160"/>
          </w:tcPr>
          <w:p>
            <w:r>
              <w:t>[Büroarbeit in M365]</w:t>
            </w:r>
          </w:p>
        </w:tc>
        <w:tc>
          <w:tcPr>
            <w:tcW w:type="dxa" w:w="2160"/>
          </w:tcPr>
          <w:p>
            <w:r>
              <w:t>[nur dienstliches Konto]</w:t>
            </w:r>
          </w:p>
        </w:tc>
      </w:tr>
      <w:tr>
        <w:tc>
          <w:tcPr>
            <w:tcW w:type="dxa" w:w="2160"/>
          </w:tcPr>
          <w:p>
            <w:r>
              <w:t>[weiteres Werkzeug]</w:t>
            </w:r>
          </w:p>
        </w:tc>
        <w:tc>
          <w:tcPr>
            <w:tcW w:type="dxa" w:w="2160"/>
          </w:tcPr>
          <w:p>
            <w:r/>
          </w:p>
        </w:tc>
        <w:tc>
          <w:tcPr>
            <w:tcW w:type="dxa" w:w="2160"/>
          </w:tcPr>
          <w:p>
            <w:r/>
          </w:p>
        </w:tc>
        <w:tc>
          <w:tcPr>
            <w:tcW w:type="dxa" w:w="2160"/>
          </w:tcPr>
          <w:p>
            <w:r/>
          </w:p>
        </w:tc>
      </w:tr>
    </w:tbl>
    <w:p>
      <w:r>
        <w:rPr>
          <w:i w:val="0"/>
        </w:rPr>
        <w:t>Neue Werkzeuge dürfen erst nach Freigabe genutzt werden. Der Wunsch wird formlos bei [Stelle aus Abschnitt 2] eingereicht; geprüft werden mindestens Anbieter, Datenverarbeitung, Vertragsgrundlage und der geplante Einsatzzweck. Bis zur Entscheidung gilt: keine Nutzung mit betrieblichen Daten.</w:t>
      </w:r>
    </w:p>
    <w:p>
      <w:pPr>
        <w:pStyle w:val="Heading1"/>
      </w:pPr>
      <w:r>
        <w:rPr>
          <w:color w:val="0B1220"/>
        </w:rPr>
        <w:t>4. Verbotene Nutzungen</w:t>
      </w:r>
    </w:p>
    <w:p>
      <w:r>
        <w:rPr>
          <w:i w:val="0"/>
        </w:rPr>
        <w:t>Unabhängig vom Werkzeug ist Folgendes untersagt:</w:t>
      </w:r>
    </w:p>
    <w:p>
      <w:pPr>
        <w:pStyle w:val="ListBullet"/>
      </w:pPr>
      <w:r>
        <w:t>Eingabe personenbezogener Daten (von Kundschaft, Beschäftigten, Bewerberinnen und Bewerbern oder Dritten) in Werkzeuge, die dafür nicht ausdrücklich freigegeben sind.</w:t>
      </w:r>
    </w:p>
    <w:p>
      <w:pPr>
        <w:pStyle w:val="ListBullet"/>
      </w:pPr>
      <w:r>
        <w:t>Eingabe von Geschäftsgeheimnissen, Vertragsinhalten, Preiskalkulationen, Quellcode oder anderen vertraulichen Unterlagen in nicht freigegebene Werkzeuge.</w:t>
      </w:r>
    </w:p>
    <w:p>
      <w:pPr>
        <w:pStyle w:val="ListBullet"/>
      </w:pPr>
      <w:r>
        <w:t>Nutzung privater Konten für dienstliche Zwecke, wenn ein freigegebenes dienstliches Konto besteht.</w:t>
      </w:r>
    </w:p>
    <w:p>
      <w:pPr>
        <w:pStyle w:val="ListBullet"/>
      </w:pPr>
      <w:r>
        <w:t>Automatisierte Entscheidungen über Personen (z. B. in Bewerbungsverfahren) ohne die in Abschnitt 6 geregelte menschliche Prüfung.</w:t>
      </w:r>
    </w:p>
    <w:p>
      <w:pPr>
        <w:pStyle w:val="ListBullet"/>
      </w:pPr>
      <w:r>
        <w:t>Umgehung technischer Schutzmaßnahmen oder der Freigabeprozesse dieser Richtlinie.</w:t>
      </w:r>
    </w:p>
    <w:p>
      <w:pPr>
        <w:pStyle w:val="Heading1"/>
      </w:pPr>
      <w:r>
        <w:rPr>
          <w:color w:val="0B1220"/>
        </w:rPr>
        <w:t>5. Regeln für Eingaben (Datenklassen)</w:t>
      </w:r>
    </w:p>
    <w:p>
      <w:r>
        <w:rPr>
          <w:i w:val="0"/>
        </w:rPr>
        <w:t>Für Eingaben in KI-Werkzeuge gelten die folgenden Klassen:</w:t>
      </w:r>
    </w:p>
    <w:p>
      <w:pPr>
        <w:pStyle w:val="ListBullet"/>
      </w:pPr>
      <w:r>
        <w:t>Öffentliche Informationen (z. B. veröffentlichte Texte): in allen freigegebenen Werkzeugen zulässig.</w:t>
      </w:r>
    </w:p>
    <w:p>
      <w:pPr>
        <w:pStyle w:val="ListBullet"/>
      </w:pPr>
      <w:r>
        <w:t>Interne Informationen (z. B. Entwürfe ohne Personenbezug): nur in Werkzeugen, die dafür freigegeben sind.</w:t>
      </w:r>
    </w:p>
    <w:p>
      <w:pPr>
        <w:pStyle w:val="ListBullet"/>
      </w:pPr>
      <w:r>
        <w:t>Vertrauliche Informationen und Geschäftsgeheimnisse: nur in Werkzeugen mit ausdrücklicher Freigabe für diese Klasse, sonst untersagt.</w:t>
      </w:r>
    </w:p>
    <w:p>
      <w:pPr>
        <w:pStyle w:val="ListBullet"/>
      </w:pPr>
      <w:r>
        <w:t>Personenbezogene Daten: nur in Werkzeugen mit ausdrücklicher Freigabe und dokumentierter datenschutzrechtlicher Grundlage, sonst untersagt.</w:t>
      </w:r>
    </w:p>
    <w:p>
      <w:r>
        <w:rPr>
          <w:i w:val="0"/>
        </w:rPr>
        <w:t>Im Zweifel gilt die strengere Klasse. Unsicherheiten werden vor der Eingabe mit der Ansprechperson aus Abschnitt 2 geklärt.</w:t>
      </w:r>
    </w:p>
    <w:p>
      <w:pPr>
        <w:pStyle w:val="Heading1"/>
      </w:pPr>
      <w:r>
        <w:rPr>
          <w:color w:val="0B1220"/>
        </w:rPr>
        <w:t>6. Verantwortung für Ergebnisse</w:t>
      </w:r>
    </w:p>
    <w:p>
      <w:r>
        <w:rPr>
          <w:i w:val="0"/>
        </w:rPr>
        <w:t>KI-Ergebnisse sind Entwürfe. Wer ein Ergebnis verwendet, verantwortet es wie eine eigene Arbeitsleistung. Vor der Verwendung sind Ergebnisse fachlich zu prüfen - insbesondere auf inhaltliche Richtigkeit, auf Rechte Dritter und darauf, ob die Quelle einer Behauptung bekannt ist. Entscheidungen mit Wirkung für Personen (etwa in Personalprozessen) trifft immer ein Mensch; das KI-Ergebnis ist dabei höchstens eine Vorbereitung.</w:t>
      </w:r>
    </w:p>
    <w:p>
      <w:pPr>
        <w:pStyle w:val="Heading1"/>
      </w:pPr>
      <w:r>
        <w:rPr>
          <w:color w:val="0B1220"/>
        </w:rPr>
        <w:t>7. Kennzeichnung von KI-Inhalten</w:t>
      </w:r>
    </w:p>
    <w:p>
      <w:r>
        <w:rPr>
          <w:i w:val="0"/>
        </w:rPr>
        <w:t>Seit dem 2. August 2026 gelten die Transparenzpflichten nach Art. 50 der KI-Verordnung. Für uns bedeutet das insbesondere: Wo Personen direkt mit einem KI-System interagieren (z. B. Chatbot auf der Website), wird das offengelegt, sofern es nicht offensichtlich ist. Für veröffentlichte KI-erzeugte oder KI-bearbeitete Inhalte gilt die interne Regel: [Kennzeichnungsregel des Unternehmens eintragen; Orientierung: compliki.de/ratgeber-transparenzpflichten-art-50.html]. Zuständig für Zweifelsfälle: [Name, Funktion].</w:t>
      </w:r>
    </w:p>
    <w:p>
      <w:pPr>
        <w:pStyle w:val="Heading1"/>
      </w:pPr>
      <w:r>
        <w:rPr>
          <w:color w:val="0B1220"/>
        </w:rPr>
        <w:t>8. Einweisung und Dokumentation</w:t>
      </w:r>
    </w:p>
    <w:p>
      <w:r>
        <w:rPr>
          <w:i w:val="0"/>
        </w:rPr>
        <w:t>Nach Art. 4 der KI-Verordnung treffen wir Maßnahmen, damit alle Personen, die KI-Werkzeuge einsetzen, dies kompetent tun können. Neue Beschäftigte erhalten eine Einweisung in diese Richtlinie; bei wesentlichen Änderungen wird nachgeschult. Durchgeführte Maßnahmen werden mit Datum, Inhalt und Teilnehmenden dokumentiert: [Ablageort eintragen]. Ein bestimmtes Format oder Zertifikat schreibt die Verordnung nicht vor; entscheidend ist, dass die Maßnahmen zum tatsächlichen Einsatz passen und nachvollziehbar festgehalten sind.</w:t>
      </w:r>
    </w:p>
    <w:p>
      <w:pPr>
        <w:pStyle w:val="Heading1"/>
      </w:pPr>
      <w:r>
        <w:rPr>
          <w:color w:val="0B1220"/>
        </w:rPr>
        <w:t>9. Pflege, Verstöße, Inkrafttreten</w:t>
      </w:r>
    </w:p>
    <w:p>
      <w:pPr>
        <w:pStyle w:val="ListBullet"/>
      </w:pPr>
      <w:r>
        <w:t>Diese Richtlinie wird mindestens [jährlich] sowie anlassbezogen überprüft (z. B. bei neuen Werkzeugen oder Rechtsänderungen).</w:t>
      </w:r>
    </w:p>
    <w:p>
      <w:pPr>
        <w:pStyle w:val="ListBullet"/>
      </w:pPr>
      <w:r>
        <w:t>Verstöße werden wie Verstöße gegen andere betriebliche Regelungen behandelt; maßgeblich ist der Einzelfall.</w:t>
      </w:r>
    </w:p>
    <w:p>
      <w:pPr>
        <w:pStyle w:val="ListBullet"/>
      </w:pPr>
      <w:r>
        <w:t>Diese Richtlinie tritt am [Datum] in Kraft.</w:t>
      </w:r>
    </w:p>
    <w:p>
      <w:r>
        <w:rPr>
          <w:i w:val="0"/>
        </w:rPr>
      </w:r>
    </w:p>
    <w:p>
      <w:r>
        <w:rPr>
          <w:i w:val="0"/>
          <w:color w:val="5E6E86"/>
          <w:sz w:val="16"/>
        </w:rPr>
        <w:t>Muster: CompliKI (Baltes KI Solutions), compliki.de · Version 2026-08 · Dieses Muster ist eine allgemeine Vorlage und ersetzt keine Rechtsberatung und keine Prüfung des Einzelfalls.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